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2"/>
      </w:tblGrid>
      <w:tr w:rsidR="00395C2E" w:rsidRPr="00395C2E" w:rsidTr="00395C2E">
        <w:trPr>
          <w:tblCellSpacing w:w="7" w:type="dxa"/>
        </w:trPr>
        <w:tc>
          <w:tcPr>
            <w:tcW w:w="4985" w:type="pct"/>
            <w:vAlign w:val="center"/>
            <w:hideMark/>
          </w:tcPr>
          <w:p w:rsidR="00395C2E" w:rsidRPr="00395C2E" w:rsidRDefault="00395C2E" w:rsidP="00395C2E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55555"/>
                <w:sz w:val="14"/>
                <w:szCs w:val="14"/>
              </w:rPr>
            </w:pPr>
          </w:p>
          <w:p w:rsidR="00395C2E" w:rsidRDefault="00395C2E" w:rsidP="00395C2E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555555"/>
                <w:sz w:val="21"/>
                <w:szCs w:val="21"/>
              </w:rPr>
            </w:pPr>
            <w:r w:rsidRPr="00395C2E">
              <w:rPr>
                <w:rFonts w:ascii="Tahoma" w:eastAsia="Times New Roman" w:hAnsi="Tahoma" w:cs="Tahoma"/>
                <w:b/>
                <w:caps/>
                <w:color w:val="555555"/>
                <w:sz w:val="21"/>
                <w:szCs w:val="21"/>
              </w:rPr>
              <w:t>Итоговое сочинение 2015/2016 гг.: темы, критерии, рекомендации</w:t>
            </w:r>
          </w:p>
          <w:p w:rsidR="00395C2E" w:rsidRPr="00395C2E" w:rsidRDefault="00395C2E" w:rsidP="00395C2E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555555"/>
                <w:sz w:val="21"/>
                <w:szCs w:val="21"/>
              </w:rPr>
            </w:pPr>
          </w:p>
        </w:tc>
      </w:tr>
      <w:tr w:rsidR="00395C2E" w:rsidRPr="00395C2E" w:rsidTr="00395C2E">
        <w:trPr>
          <w:tblCellSpacing w:w="7" w:type="dxa"/>
        </w:trPr>
        <w:tc>
          <w:tcPr>
            <w:tcW w:w="0" w:type="auto"/>
            <w:vAlign w:val="center"/>
            <w:hideMark/>
          </w:tcPr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2200275"/>
                  <wp:effectExtent l="19050" t="0" r="0" b="0"/>
                  <wp:wrapSquare wrapText="bothSides"/>
                  <wp:docPr id="2" name="Рисунок 2" descr="http://егэша.рф/News/soch15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егэша.рф/News/soch15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2 декабря 2015 года выпускников 11-х классов ждёт испытание в виде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написания итогового сочинения для допуска к ЕГЭ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Данное сочинение будет оцениваться по системе зачёт/незачёт, и писать его будут все ученики 11-ых классов в первую среду декабря (2 декабря). В случае незачёта переписать его можно будет </w:t>
            </w:r>
            <w:proofErr w:type="gramStart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в первые</w:t>
            </w:r>
            <w:proofErr w:type="gram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среды февраля и мая (3 февраля и 4 мая).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● Результатом итогового сочинения является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«зачёт» или «незачёт»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К сдаче ЕГЭ допускаются только выпускники, получившие «зачёт».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● Рекомендуемый объём сочинения –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350 слов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Если в сочинении менее 250 слов (в подсчет включаются все слова, в том числе служебные), то такая работа считается невыполненной. Максимальное число слов в сочинении не устанавливается.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● Время написания сочинения –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3 часа 55 минут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● Выпускнику разрешается пользоваться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орфографическим словарём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, выдаваемым членами комиссии.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● Темы сочинений будут формироваться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по часовым поясам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● Данное сочинение в дальнейшем может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учитываться при приёме абитуриентов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В этом случае вузы сами оценят сочинение в баллах. Максимум за него можно будет получить 10 баллов, которые затем суммируют с баллами ЕГЭ абитуриента.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●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Темы сочинений объявят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выпускникам в день написания сочинения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в 9.45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(за 15 минут до начала работы). В это же время темы будут опубликованы на открытых информационных ресурсах (</w:t>
            </w:r>
            <w:proofErr w:type="spellStart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fldChar w:fldCharType="begin"/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instrText xml:space="preserve"> HYPERLINK "http://ege.edu.ru" \t "_blank" </w:instrTex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fldChar w:fldCharType="separate"/>
            </w:r>
            <w:r w:rsidRPr="00395C2E">
              <w:rPr>
                <w:rFonts w:ascii="Arial" w:eastAsia="Times New Roman" w:hAnsi="Arial" w:cs="Arial"/>
                <w:color w:val="D21918"/>
                <w:sz w:val="26"/>
                <w:szCs w:val="26"/>
              </w:rPr>
              <w:t>ege.edu.ru</w:t>
            </w:r>
            <w:proofErr w:type="spell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fldChar w:fldCharType="end"/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, </w:t>
            </w:r>
            <w:hyperlink r:id="rId5" w:tgtFrame="_blank" w:history="1">
              <w:proofErr w:type="spellStart"/>
              <w:r w:rsidRPr="00395C2E">
                <w:rPr>
                  <w:rFonts w:ascii="Arial" w:eastAsia="Times New Roman" w:hAnsi="Arial" w:cs="Arial"/>
                  <w:color w:val="D21918"/>
                  <w:sz w:val="26"/>
                  <w:szCs w:val="26"/>
                </w:rPr>
                <w:t>fipi.ru</w:t>
              </w:r>
              <w:proofErr w:type="spellEnd"/>
            </w:hyperlink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).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● Работа выполняется чёрной </w:t>
            </w:r>
            <w:proofErr w:type="spellStart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гелевой</w:t>
            </w:r>
            <w:proofErr w:type="spell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, капиллярной или перьевой ручкой.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br/>
              <w:t xml:space="preserve">Темы сочинений будут разрабатываться в рамках следующих </w:t>
            </w:r>
            <w:r w:rsidRPr="00395C2E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направлений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: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>
              <w:rPr>
                <w:rFonts w:ascii="Arial" w:eastAsia="Times New Roman" w:hAnsi="Arial" w:cs="Arial"/>
                <w:noProof/>
                <w:color w:val="D21918"/>
                <w:sz w:val="26"/>
                <w:szCs w:val="26"/>
              </w:rPr>
              <w:drawing>
                <wp:inline distT="0" distB="0" distL="0" distR="0">
                  <wp:extent cx="5467350" cy="5467350"/>
                  <wp:effectExtent l="19050" t="0" r="0" b="0"/>
                  <wp:docPr id="1" name="Рисунок 1" descr="http://exams.ucoz.ru/_nw/2/s10346865.jpg">
                    <a:hlinkClick xmlns:a="http://schemas.openxmlformats.org/drawingml/2006/main" r:id="rId6" tgtFrame="_blank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ams.ucoz.ru/_nw/2/s10346865.jpg">
                            <a:hlinkClick r:id="rId6" tgtFrame="_blank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546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1. </w:t>
            </w:r>
            <w:proofErr w:type="gramStart"/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«Время»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      </w:r>
            <w:proofErr w:type="gram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В центре рассуждения – человек и время, общество и эпоха.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2.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«Дом»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3.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«Любовь»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 xml:space="preserve">сторонах.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4.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«Путь»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–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5.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«Год литературы»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Сочинение будет оцениваться по пяти </w:t>
            </w:r>
            <w:r w:rsidRPr="00395C2E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критериям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: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1. Соответствие теме.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Выпускник должен откликнуться на предложенную задачу, избежать её подмены, выбрать свой путь рассуждения, сформулировав тезисы, которые </w:t>
            </w:r>
            <w:proofErr w:type="gramStart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предстоит</w:t>
            </w:r>
            <w:proofErr w:type="gram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аргументировано раскрыть.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Данный критерий нацеливает на проверку содержания сочинения. Выпускник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«Незачёт» ставится только при условии, если сочинение не соответствует теме или в нем не прослеживается конкретной цели высказывания, т.е. коммуникативного замысла (во всех остальных случаях выставляется «зачёт»).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2. Аргументация и привлечение литературного материала.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Приводя примеры конкретных работ школьников, эксперты дают понять, что не слишком приветствуется схематичность трактовки образов, упрощенность, важно понимание и осмысление учеником произведения. Литературный материал не должен быть привлечен лишь формально, с его помощью нужно действительно аргументировать тезис.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тематикой и проблематикой произведения, системой действующих лиц и т.д.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 своей позиции.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proofErr w:type="gramStart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Выпускник строит рассуждение, привлекая для аргументации не менее одного произведения отечественной или мировой литературы, избирая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      </w:r>
            <w:proofErr w:type="gram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«Незачёт»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</w:t>
            </w:r>
            <w:proofErr w:type="gramStart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произведения</w:t>
            </w:r>
            <w:proofErr w:type="gram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лишь упоминаются в работе, не становясь опорой для рассуждения (во всех остальных случаях выставляется «зачёт»).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3. Композиция и логика рассуждения.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Здесь важна стройность и целостность композиции: вступление, </w:t>
            </w:r>
            <w:proofErr w:type="spellStart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тезисно-доказательная</w:t>
            </w:r>
            <w:proofErr w:type="spell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часть, заключение. Не стоит отклоняться от заявленной темы.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Данный критерий нацеливает на проверку умения логично выстраивать рассуждение на предложенную тему. Выпускник аргументирует высказанные мысли, стараясь выдерживать соотношение между тезисом и доказательствами.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«Незачёт» ставится при условии, если грубые логические нарушения мешают пониманию смысла сказанного или отсутствует </w:t>
            </w:r>
            <w:proofErr w:type="spellStart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тезисно-доказательная</w:t>
            </w:r>
            <w:proofErr w:type="spellEnd"/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часть (во всех остальных случаях выставляется «зачёт»).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4. Качество письменной речи.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Данный критерий нацеливает на проверку речевого оформления текста сочинения. 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«Незачёт» ставится при условии, если низкое качество речи, в том числе речевые ошибки, существенно затрудняют понимание смысла сочинения (во всех остальных случаях выставляется «зачёт»). </w:t>
            </w:r>
          </w:p>
          <w:p w:rsid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 xml:space="preserve">5. Грамотность. </w:t>
            </w:r>
          </w:p>
          <w:p w:rsidR="00395C2E" w:rsidRPr="00395C2E" w:rsidRDefault="00395C2E" w:rsidP="00395C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Данный критерий позволяет оценить грамотность выпускника. Приветствуется богатство лексики, разнообразие синтаксических конструкций, стоит избегать неудачных словоупотреблений, избыточных усложнений фразы, однотипных конструкций, речевых штампов и т.п. и, конечно, грамматических и орфографических ошибок.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«Незачёт»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Для получения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 xml:space="preserve">зачёта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по сочинению необходимо, чтобы сочинение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соответствовало трём критериям, причем первым двум обязательно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Также сочинение должно содержать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 xml:space="preserve">не менее 250 слов, а текст работы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lastRenderedPageBreak/>
              <w:t>должен быть оригинален не менее чем на 50%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Сочинение может потребоваться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при приёме в некоторые вузы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; за него можно получить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дополнительно до 10 баллов вдобавок к баллам по ЕГЭ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. В этом случае используется десятибалльная система оценивания. По желанию абитуриента вуз запрашивает из базы данных сочинение и оценивает его самостоятельно. За вузом закрепляется право утвердить собственные критерии оценки итогового сочинения. Ниже приводятся рекомендуемые критерии оценивания итогового сочинения вузами. 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br/>
              <w:t xml:space="preserve">Критерии №1 и №2 являются основными. </w:t>
            </w:r>
            <w:r w:rsidRPr="00395C2E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</w:rPr>
              <w:t>Если при проверке сочинения по критерию №1 или №2 поставлено 0 баллов, то сочинение дальше не проверяется</w:t>
            </w:r>
            <w:r w:rsidRPr="00395C2E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: по всем остальным критериям выставляется 0 баллов. Если в сочинении менее 250 слов (в подсчёт включаются все слова, в том числе и служебные), то такая работа считается невыполненной и оценивается 0 баллов.</w:t>
            </w:r>
          </w:p>
          <w:p w:rsidR="00395C2E" w:rsidRPr="00395C2E" w:rsidRDefault="00395C2E" w:rsidP="00395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  <w:p w:rsidR="00395C2E" w:rsidRPr="00395C2E" w:rsidRDefault="00395C2E" w:rsidP="00395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20"/>
              <w:gridCol w:w="898"/>
            </w:tblGrid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 Критерии оценивания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Баллы 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 К</w:t>
                  </w:r>
                  <w:proofErr w:type="gramStart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1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. Соответствие теме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Выпускник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т.п.), коммуникативный замысел сочинения выражен ясно.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2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Выпускник поверхностно рассуждает на предложенную тему, коммуникативный замысел сочинения прослеживается.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1 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Сочинение не соответствует теме, и/или коммуникативный замысел сочинения не прослеживается.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</w:t>
                  </w: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К</w:t>
                  </w:r>
                  <w:proofErr w:type="gramStart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2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. Привлечение литературного материала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выбору, определяя свой путь использования литературного материала; показывает разный уровень его осмысления: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2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Выпускник строит рассуждение с опорой на литературный материал, но ограничивается общими высказываниями по поводу художественного произведения; </w:t>
                  </w: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br/>
                    <w:t xml:space="preserve">и/или ограничивается простым пересказом художественного произведения; </w:t>
                  </w: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br/>
                    <w:t>и/или допущены 2-4 фактические ошибки, связанные со знанием литературного материала.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Сочинение написано без привлечения литературного материала,</w:t>
                  </w: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br/>
                    <w:t xml:space="preserve">или литературные произведения лишь упоминаются в работе, не </w:t>
                  </w: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lastRenderedPageBreak/>
                    <w:t>становясь опорой для рассуждения,</w:t>
                  </w: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br/>
                    <w:t>и/или сочинение содержит 5 и более фактических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lastRenderedPageBreak/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lastRenderedPageBreak/>
                    <w:t> </w:t>
                  </w: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К3. Композиция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2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Сочинение отличается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повторы, </w:t>
                  </w: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br/>
                    <w:t>и/или в сочинении прослеживается композиционный замысел, но есть нарушения композиционной связи между смысловыми частями,</w:t>
                  </w: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br/>
                    <w:t>и/или мысль повторяется и не развивается.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Грубые логические нарушения мешают пониманию смысла написанного, или отсутствует </w:t>
                  </w:r>
                  <w:proofErr w:type="spellStart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тезисно-доказательная</w:t>
                  </w:r>
                  <w:proofErr w:type="spellEnd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часть, или аргументация не убедительна.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</w:t>
                  </w: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К</w:t>
                  </w:r>
                  <w:proofErr w:type="gramStart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4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. Качество речи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штампов.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2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Выпускник точно выражает мысли, но его речь характеризуется бедностью словаря и однообразием грамматического строя речи.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Низкое качество речи существенно затрудняет понимание смысла, или сочинение написано бедным, примитивным языком, или изобилует просторечными выражениями и вульгаризмами.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 К5. Оригинальность сочинения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Выпускник демонстрирует творческий, нестандартный подход к раскрытию темы (в сочинении отмечаются интересные мысли, или неожиданные и вместе с тем убедительные аргументы, или свежие наблюдения и проч.) или яркость стиля.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Выпускник не демонстрирует самостоятельности мышления, и/или творческого, нестандартного подхода, и/или оригинальности стиля.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 К</w:t>
                  </w:r>
                  <w:proofErr w:type="gramStart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6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. Речевые нормы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Допущено не более 2 речевых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2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Допущены 3-4 речевые ошибки.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Допущены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5 и более речевых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</w:t>
                  </w: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К</w:t>
                  </w:r>
                  <w:proofErr w:type="gramStart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7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. Орфографические нормы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Орфографических ошибок нет, или допущена 1 негрубая ошибка.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3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Допущены 2-3 орфографические ошибки.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2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Допущены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4-5 орфографических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Допущено более 5 орфографических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 К8. Пунктуационные нормы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Пунктуационных ошибок нет, или допущена 1 негрубая ошибка.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3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Допущены 2-3 пунктуационные ошибки.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2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Допущены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4-5 пунктуационных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Допущено более 5 пунктуационных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</w:t>
                  </w: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К</w:t>
                  </w:r>
                  <w:proofErr w:type="gramStart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9</w:t>
                  </w:r>
                  <w:proofErr w:type="gramEnd"/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. Грамматические нормы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Допущено не более 2 грамматических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2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Допущены 3-4 грамматические ошибки.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Допущено 5 и более грамматических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 К10. Фактическая точность в фоновом материале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lastRenderedPageBreak/>
                    <w:t>Фактические ошибки отсутствуют.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1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Допущены фактические ошибки в фоновом материале (одна и более).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</w:t>
                  </w: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МАКСИМАЛЬНЫЙ 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20 </w:t>
                  </w:r>
                </w:p>
              </w:tc>
            </w:tr>
          </w:tbl>
          <w:p w:rsidR="00395C2E" w:rsidRPr="00395C2E" w:rsidRDefault="00395C2E" w:rsidP="00395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991"/>
              <w:gridCol w:w="396"/>
              <w:gridCol w:w="337"/>
              <w:gridCol w:w="337"/>
              <w:gridCol w:w="459"/>
              <w:gridCol w:w="582"/>
              <w:gridCol w:w="582"/>
              <w:gridCol w:w="582"/>
              <w:gridCol w:w="263"/>
              <w:gridCol w:w="263"/>
              <w:gridCol w:w="263"/>
              <w:gridCol w:w="263"/>
            </w:tblGrid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 </w:t>
                  </w: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  <w:t>Отметка по десятибалльной системе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10</w:t>
                  </w:r>
                </w:p>
              </w:tc>
            </w:tr>
            <w:tr w:rsidR="00395C2E" w:rsidRPr="00395C2E" w:rsidTr="00395C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</w:rPr>
                    <w:t> Первичный 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 0-4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11-12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13-14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15-16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5C2E" w:rsidRPr="00395C2E" w:rsidRDefault="00395C2E" w:rsidP="00395C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7"/>
                      <w:szCs w:val="17"/>
                    </w:rPr>
                  </w:pPr>
                  <w:r w:rsidRPr="00395C2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395C2E" w:rsidRPr="00395C2E" w:rsidRDefault="00395C2E" w:rsidP="00395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</w:tr>
    </w:tbl>
    <w:p w:rsidR="00AF1411" w:rsidRDefault="00AF1411"/>
    <w:sectPr w:rsidR="00AF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2E"/>
    <w:rsid w:val="00395C2E"/>
    <w:rsid w:val="00A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9"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ams.ucoz.ru/_nw/2/10346865.jpg" TargetMode="External"/><Relationship Id="rId5" Type="http://schemas.openxmlformats.org/officeDocument/2006/relationships/hyperlink" Target="http://fipi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2001-12-31T22:11:00Z</dcterms:created>
  <dcterms:modified xsi:type="dcterms:W3CDTF">2001-12-31T22:13:00Z</dcterms:modified>
</cp:coreProperties>
</file>